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&lt;Numéro de 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149"/>
        <w:tblGridChange w:id="0">
          <w:tblGrid>
            <w:gridCol w:w="4213"/>
            <w:gridCol w:w="587"/>
            <w:gridCol w:w="2655"/>
            <w:gridCol w:w="27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du locataire&gt;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 de la propriété locative&gt;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&lt;Courriel du locataire&gt;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 du locataire&gt;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Ind w:w="-108.0" w:type="dxa"/>
        <w:tblLayout w:type="fixed"/>
        <w:tblLook w:val="0600"/>
      </w:tblPr>
      <w:tblGrid>
        <w:gridCol w:w="4679"/>
        <w:gridCol w:w="750"/>
        <w:gridCol w:w="3676"/>
        <w:gridCol w:w="1800"/>
        <w:tblGridChange w:id="0">
          <w:tblGrid>
            <w:gridCol w:w="4679"/>
            <w:gridCol w:w="750"/>
            <w:gridCol w:w="3676"/>
            <w:gridCol w:w="18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Remarques / Instructions de paiement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4339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29060" y="3684780"/>
                        <a:ext cx="683388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4339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33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